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5C2A93" w14:paraId="47E64AA7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64F5E1DA" w14:textId="447EE973" w:rsidR="00974E99" w:rsidRPr="005C2A93" w:rsidRDefault="00974E99" w:rsidP="009C22FC">
            <w:pPr>
              <w:pStyle w:val="Documenttype"/>
            </w:pPr>
            <w:r w:rsidRPr="005C2A93">
              <w:t xml:space="preserve">IALA </w:t>
            </w:r>
            <w:r w:rsidR="00F905E1" w:rsidRPr="005C2A93">
              <w:t>R</w:t>
            </w:r>
            <w:r w:rsidR="009C22FC">
              <w:t>eCommendation</w:t>
            </w:r>
          </w:p>
        </w:tc>
      </w:tr>
    </w:tbl>
    <w:p w14:paraId="68CAB611" w14:textId="77777777" w:rsidR="008972C3" w:rsidRPr="005C2A93" w:rsidRDefault="008972C3" w:rsidP="003274DB"/>
    <w:p w14:paraId="43B79C5E" w14:textId="4217A409" w:rsidR="00D74AE1" w:rsidRPr="005C2A93" w:rsidRDefault="00D74AE1" w:rsidP="003274DB"/>
    <w:p w14:paraId="0072601B" w14:textId="5A148CB3" w:rsidR="00111E0A" w:rsidRPr="005C2A93" w:rsidRDefault="00992126" w:rsidP="00111E0A">
      <w:pPr>
        <w:pStyle w:val="Documentnumber"/>
      </w:pPr>
      <w:proofErr w:type="gramStart"/>
      <w:r w:rsidRPr="005C2A93">
        <w:rPr>
          <w:caps w:val="0"/>
        </w:rPr>
        <w:t>e</w:t>
      </w:r>
      <w:r w:rsidRPr="005C2A93">
        <w:t>-NAV</w:t>
      </w:r>
      <w:r w:rsidR="002155B0" w:rsidRPr="005C2A93">
        <w:t>-147</w:t>
      </w:r>
      <w:proofErr w:type="gramEnd"/>
    </w:p>
    <w:p w14:paraId="3EDD9565" w14:textId="77777777" w:rsidR="00111E0A" w:rsidRPr="005C2A93" w:rsidRDefault="00111E0A" w:rsidP="003274DB"/>
    <w:p w14:paraId="75F69517" w14:textId="38CACA90" w:rsidR="00776004" w:rsidRPr="005C2A93" w:rsidRDefault="002155B0" w:rsidP="00564664">
      <w:pPr>
        <w:pStyle w:val="Documentname"/>
      </w:pPr>
      <w:r w:rsidRPr="005C2A93">
        <w:rPr>
          <w:bCs/>
        </w:rPr>
        <w:t>Product Specification Development and Management</w:t>
      </w:r>
    </w:p>
    <w:p w14:paraId="0FC2967C" w14:textId="77777777" w:rsidR="00D74AE1" w:rsidRPr="005C2A93" w:rsidRDefault="00D74AE1" w:rsidP="00D74AE1"/>
    <w:p w14:paraId="6CBF2C44" w14:textId="77777777" w:rsidR="006A48A6" w:rsidRPr="005C2A93" w:rsidRDefault="006A48A6" w:rsidP="00D74AE1"/>
    <w:p w14:paraId="41B6E6B0" w14:textId="71C5C5E1" w:rsidR="005378B8" w:rsidRPr="005C2A93" w:rsidRDefault="005378B8" w:rsidP="00D74AE1"/>
    <w:p w14:paraId="20BCCC59" w14:textId="1A5E261A" w:rsidR="005378B8" w:rsidRPr="005C2A93" w:rsidRDefault="005378B8" w:rsidP="00D74AE1"/>
    <w:p w14:paraId="05F84714" w14:textId="0BD3F4D4" w:rsidR="005378B8" w:rsidRPr="005C2A93" w:rsidRDefault="005378B8" w:rsidP="00D74AE1"/>
    <w:p w14:paraId="20CB8E74" w14:textId="423B1AE4" w:rsidR="005378B8" w:rsidRPr="005C2A93" w:rsidRDefault="005378B8" w:rsidP="00D74AE1"/>
    <w:p w14:paraId="3C24B6DB" w14:textId="575DF502" w:rsidR="005378B8" w:rsidRPr="005C2A93" w:rsidRDefault="005378B8" w:rsidP="00D74AE1"/>
    <w:p w14:paraId="6787CAAB" w14:textId="77777777" w:rsidR="005378B8" w:rsidRPr="005C2A93" w:rsidRDefault="005378B8" w:rsidP="00D74AE1"/>
    <w:p w14:paraId="5F76FD87" w14:textId="77777777" w:rsidR="005378B8" w:rsidRPr="005C2A93" w:rsidRDefault="005378B8" w:rsidP="00D74AE1"/>
    <w:p w14:paraId="72E90419" w14:textId="77777777" w:rsidR="005378B8" w:rsidRPr="005C2A93" w:rsidRDefault="005378B8" w:rsidP="00D74AE1"/>
    <w:p w14:paraId="704F2E09" w14:textId="77777777" w:rsidR="005378B8" w:rsidRPr="005C2A93" w:rsidRDefault="005378B8" w:rsidP="00D74AE1"/>
    <w:p w14:paraId="28A61252" w14:textId="77777777" w:rsidR="005378B8" w:rsidRPr="005C2A93" w:rsidRDefault="005378B8" w:rsidP="00D74AE1"/>
    <w:p w14:paraId="0619A1CB" w14:textId="77777777" w:rsidR="005378B8" w:rsidRPr="005C2A93" w:rsidRDefault="005378B8" w:rsidP="00D74AE1"/>
    <w:p w14:paraId="20609F99" w14:textId="77777777" w:rsidR="005378B8" w:rsidRPr="005C2A93" w:rsidRDefault="005378B8" w:rsidP="00D74AE1"/>
    <w:p w14:paraId="35D7628F" w14:textId="77777777" w:rsidR="005378B8" w:rsidRPr="005C2A93" w:rsidRDefault="005378B8" w:rsidP="00D74AE1"/>
    <w:p w14:paraId="22ECE7B6" w14:textId="77777777" w:rsidR="005378B8" w:rsidRPr="005C2A93" w:rsidRDefault="005378B8" w:rsidP="00D74AE1"/>
    <w:p w14:paraId="7581E9D6" w14:textId="77777777" w:rsidR="005378B8" w:rsidRPr="005C2A93" w:rsidRDefault="005378B8" w:rsidP="00D74AE1"/>
    <w:p w14:paraId="13F4A3D7" w14:textId="77777777" w:rsidR="005378B8" w:rsidRPr="005C2A93" w:rsidRDefault="005378B8" w:rsidP="00D74AE1"/>
    <w:p w14:paraId="2B3E3491" w14:textId="77777777" w:rsidR="005378B8" w:rsidRPr="005C2A93" w:rsidRDefault="005378B8" w:rsidP="00D74AE1"/>
    <w:p w14:paraId="0C7360C4" w14:textId="77777777" w:rsidR="005378B8" w:rsidRPr="005C2A93" w:rsidRDefault="005378B8" w:rsidP="00D74AE1"/>
    <w:p w14:paraId="4153FA9F" w14:textId="77777777" w:rsidR="005378B8" w:rsidRPr="005C2A93" w:rsidRDefault="005378B8" w:rsidP="00D74AE1"/>
    <w:p w14:paraId="4DC2812C" w14:textId="77777777" w:rsidR="005378B8" w:rsidRPr="005C2A93" w:rsidRDefault="005378B8" w:rsidP="00D74AE1"/>
    <w:p w14:paraId="18E71C2D" w14:textId="77777777" w:rsidR="005378B8" w:rsidRPr="005C2A93" w:rsidRDefault="005378B8" w:rsidP="00D74AE1"/>
    <w:p w14:paraId="7530AB9B" w14:textId="1FC7E5E4" w:rsidR="005378B8" w:rsidRPr="005C2A93" w:rsidRDefault="005378B8" w:rsidP="005378B8">
      <w:pPr>
        <w:pStyle w:val="Editionnumber"/>
      </w:pPr>
      <w:r w:rsidRPr="005C2A93">
        <w:t xml:space="preserve">Edition </w:t>
      </w:r>
      <w:r w:rsidR="00F85AA9">
        <w:t>2</w:t>
      </w:r>
      <w:r w:rsidRPr="005C2A93">
        <w:t>.0</w:t>
      </w:r>
    </w:p>
    <w:p w14:paraId="7D121BD2" w14:textId="52CB14EC" w:rsidR="006A48A6" w:rsidRPr="005C2A93" w:rsidRDefault="002155B0" w:rsidP="005378B8">
      <w:pPr>
        <w:pStyle w:val="Documentdate"/>
      </w:pPr>
      <w:r w:rsidRPr="005C2A93">
        <w:lastRenderedPageBreak/>
        <w:t>May 201</w:t>
      </w:r>
      <w:r w:rsidR="00F85AA9">
        <w:t>7</w:t>
      </w:r>
    </w:p>
    <w:p w14:paraId="5794C070" w14:textId="77777777" w:rsidR="00BC27F6" w:rsidRPr="005C2A93" w:rsidRDefault="00BC27F6" w:rsidP="00D74AE1">
      <w:pPr>
        <w:sectPr w:rsidR="00BC27F6" w:rsidRPr="005C2A93" w:rsidSect="007E30DF">
          <w:headerReference w:type="default" r:id="rId8"/>
          <w:footerReference w:type="default" r:id="rId9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2C4D6AD3" w14:textId="1E878B86" w:rsidR="00914E26" w:rsidRPr="005C2A93" w:rsidRDefault="00914E26" w:rsidP="00914E26">
      <w:pPr>
        <w:pStyle w:val="BodyText"/>
      </w:pPr>
      <w:r w:rsidRPr="005C2A93">
        <w:lastRenderedPageBreak/>
        <w:t xml:space="preserve">Revisions to this IALA Document are to </w:t>
      </w:r>
      <w:proofErr w:type="gramStart"/>
      <w:r w:rsidRPr="005C2A93">
        <w:t>be noted</w:t>
      </w:r>
      <w:proofErr w:type="gramEnd"/>
      <w:r w:rsidRPr="005C2A93">
        <w:t xml:space="preserve">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5C2A93" w14:paraId="430D3EB5" w14:textId="77777777" w:rsidTr="005E4659">
        <w:tc>
          <w:tcPr>
            <w:tcW w:w="1908" w:type="dxa"/>
          </w:tcPr>
          <w:p w14:paraId="3107F566" w14:textId="77777777" w:rsidR="00914E26" w:rsidRPr="005C2A93" w:rsidRDefault="00914E26" w:rsidP="00914E26">
            <w:pPr>
              <w:pStyle w:val="Tabletexttitle"/>
            </w:pPr>
            <w:r w:rsidRPr="005C2A93">
              <w:t>Date</w:t>
            </w:r>
          </w:p>
        </w:tc>
        <w:tc>
          <w:tcPr>
            <w:tcW w:w="3576" w:type="dxa"/>
          </w:tcPr>
          <w:p w14:paraId="195E253F" w14:textId="77777777" w:rsidR="00914E26" w:rsidRPr="005C2A93" w:rsidRDefault="00914E26" w:rsidP="00914E26">
            <w:pPr>
              <w:pStyle w:val="Tabletexttitle"/>
            </w:pPr>
            <w:r w:rsidRPr="005C2A93">
              <w:t>Page / Section Revised</w:t>
            </w:r>
          </w:p>
        </w:tc>
        <w:tc>
          <w:tcPr>
            <w:tcW w:w="5001" w:type="dxa"/>
          </w:tcPr>
          <w:p w14:paraId="4BC79789" w14:textId="77777777" w:rsidR="00914E26" w:rsidRPr="005C2A93" w:rsidRDefault="00914E26" w:rsidP="005E4659">
            <w:pPr>
              <w:pStyle w:val="Tabletexttitle"/>
              <w:ind w:right="112"/>
            </w:pPr>
            <w:r w:rsidRPr="005C2A93">
              <w:t>Requirement for Revision</w:t>
            </w:r>
          </w:p>
        </w:tc>
      </w:tr>
      <w:tr w:rsidR="005E4659" w:rsidRPr="005C2A93" w14:paraId="6C9FFC4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E2B7AB8" w14:textId="6F578DA8" w:rsidR="00914E26" w:rsidRPr="005C2A93" w:rsidRDefault="00F85AA9" w:rsidP="00033F6B">
            <w:pPr>
              <w:pStyle w:val="Tabletext"/>
              <w:ind w:left="0"/>
            </w:pPr>
            <w:r>
              <w:t>15 March 2017</w:t>
            </w:r>
          </w:p>
        </w:tc>
        <w:tc>
          <w:tcPr>
            <w:tcW w:w="3576" w:type="dxa"/>
            <w:vAlign w:val="center"/>
          </w:tcPr>
          <w:p w14:paraId="150FE44D" w14:textId="0D97B1BF" w:rsidR="00914E26" w:rsidRPr="005C2A93" w:rsidRDefault="00F85AA9" w:rsidP="00914E26">
            <w:pPr>
              <w:pStyle w:val="Tabletext"/>
            </w:pPr>
            <w:r>
              <w:t>Entire document</w:t>
            </w:r>
          </w:p>
        </w:tc>
        <w:tc>
          <w:tcPr>
            <w:tcW w:w="5001" w:type="dxa"/>
            <w:vAlign w:val="center"/>
          </w:tcPr>
          <w:p w14:paraId="1DB61067" w14:textId="1D9F2F5E" w:rsidR="00914E26" w:rsidRPr="005C2A93" w:rsidRDefault="00F85AA9" w:rsidP="00914E26">
            <w:pPr>
              <w:pStyle w:val="Tabletext"/>
            </w:pPr>
            <w:r>
              <w:t>New IALA format and align with other recommendations</w:t>
            </w:r>
          </w:p>
        </w:tc>
      </w:tr>
      <w:tr w:rsidR="005E4659" w:rsidRPr="005C2A93" w14:paraId="1B9351A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09D5CB2" w14:textId="77777777" w:rsidR="00914E26" w:rsidRPr="005C2A93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FFA0815" w14:textId="77777777" w:rsidR="00914E26" w:rsidRPr="005C2A93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614EB49" w14:textId="77777777" w:rsidR="00914E26" w:rsidRPr="005C2A93" w:rsidRDefault="00914E26" w:rsidP="00914E26">
            <w:pPr>
              <w:pStyle w:val="Tabletext"/>
            </w:pPr>
          </w:p>
        </w:tc>
      </w:tr>
      <w:tr w:rsidR="005E4659" w:rsidRPr="005C2A93" w14:paraId="43EE038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DB0FA96" w14:textId="77777777" w:rsidR="00914E26" w:rsidRPr="005C2A93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98A5B29" w14:textId="77777777" w:rsidR="00914E26" w:rsidRPr="005C2A93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BD7E161" w14:textId="77777777" w:rsidR="00914E26" w:rsidRPr="005C2A93" w:rsidRDefault="00914E26" w:rsidP="00914E26">
            <w:pPr>
              <w:pStyle w:val="Tabletext"/>
            </w:pPr>
          </w:p>
        </w:tc>
      </w:tr>
      <w:tr w:rsidR="005E4659" w:rsidRPr="005C2A93" w14:paraId="73C4037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0A4237" w14:textId="77777777" w:rsidR="00914E26" w:rsidRPr="005C2A93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D9AE83C" w14:textId="77777777" w:rsidR="00914E26" w:rsidRPr="005C2A93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ACC1EBD" w14:textId="77777777" w:rsidR="00914E26" w:rsidRPr="005C2A93" w:rsidRDefault="00914E26" w:rsidP="00914E26">
            <w:pPr>
              <w:pStyle w:val="Tabletext"/>
            </w:pPr>
          </w:p>
        </w:tc>
      </w:tr>
      <w:tr w:rsidR="005E4659" w:rsidRPr="005C2A93" w14:paraId="50D639E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1C4C42B" w14:textId="77777777" w:rsidR="00914E26" w:rsidRPr="005C2A93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4A66F6D" w14:textId="77777777" w:rsidR="00914E26" w:rsidRPr="005C2A93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00D7F36" w14:textId="77777777" w:rsidR="00914E26" w:rsidRPr="005C2A93" w:rsidRDefault="00914E26" w:rsidP="00914E26">
            <w:pPr>
              <w:pStyle w:val="Tabletext"/>
            </w:pPr>
          </w:p>
        </w:tc>
      </w:tr>
      <w:tr w:rsidR="005E4659" w:rsidRPr="005C2A93" w14:paraId="77E709E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78DD96" w14:textId="77777777" w:rsidR="00914E26" w:rsidRPr="005C2A93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8D9AEF0" w14:textId="77777777" w:rsidR="00914E26" w:rsidRPr="005C2A93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2191928" w14:textId="77777777" w:rsidR="00914E26" w:rsidRPr="005C2A93" w:rsidRDefault="00914E26" w:rsidP="00914E26">
            <w:pPr>
              <w:pStyle w:val="Tabletext"/>
            </w:pPr>
          </w:p>
        </w:tc>
      </w:tr>
      <w:tr w:rsidR="005E4659" w:rsidRPr="005C2A93" w14:paraId="5CE7C67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8C1F89" w14:textId="77777777" w:rsidR="00914E26" w:rsidRPr="005C2A93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BA2AD74" w14:textId="77777777" w:rsidR="00914E26" w:rsidRPr="005C2A93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E4F716" w14:textId="77777777" w:rsidR="00914E26" w:rsidRPr="005C2A93" w:rsidRDefault="00914E26" w:rsidP="00914E26">
            <w:pPr>
              <w:pStyle w:val="Tabletext"/>
            </w:pPr>
          </w:p>
        </w:tc>
      </w:tr>
    </w:tbl>
    <w:p w14:paraId="429097EE" w14:textId="77777777" w:rsidR="005E4659" w:rsidRPr="005C2A93" w:rsidRDefault="005E4659" w:rsidP="00914E26">
      <w:pPr>
        <w:spacing w:after="200" w:line="276" w:lineRule="auto"/>
        <w:sectPr w:rsidR="005E4659" w:rsidRPr="005C2A93" w:rsidSect="00111E0A">
          <w:headerReference w:type="default" r:id="rId10"/>
          <w:footerReference w:type="default" r:id="rId11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169CB87E" w14:textId="22C2F767" w:rsidR="001B7940" w:rsidRPr="005C2A93" w:rsidRDefault="001B7940" w:rsidP="001B7940">
      <w:pPr>
        <w:pStyle w:val="THECOUNCIL"/>
      </w:pPr>
      <w:bookmarkStart w:id="0" w:name="_Toc442255952"/>
      <w:r w:rsidRPr="005C2A93">
        <w:lastRenderedPageBreak/>
        <w:t>THE COUNCIL</w:t>
      </w:r>
    </w:p>
    <w:p w14:paraId="25BBA488" w14:textId="5904EA0E" w:rsidR="002155B0" w:rsidRDefault="002155B0" w:rsidP="002155B0">
      <w:pPr>
        <w:pStyle w:val="Noting"/>
      </w:pPr>
      <w:r w:rsidRPr="005C2A93">
        <w:rPr>
          <w:b/>
        </w:rPr>
        <w:t>RECALLING</w:t>
      </w:r>
      <w:r w:rsidRPr="005C2A93">
        <w:t xml:space="preserve"> the function of IALA with respect to Safety of Navigation, the efficiency of maritime transport and the protection of the environment</w:t>
      </w:r>
      <w:r w:rsidR="007613D2">
        <w:t>,</w:t>
      </w:r>
    </w:p>
    <w:p w14:paraId="0F29FE13" w14:textId="5BC71F91" w:rsidR="007613D2" w:rsidRPr="005C2A93" w:rsidRDefault="007613D2" w:rsidP="002155B0">
      <w:pPr>
        <w:pStyle w:val="Noting"/>
        <w:rPr>
          <w:b/>
        </w:rPr>
      </w:pPr>
      <w:r>
        <w:rPr>
          <w:b/>
        </w:rPr>
        <w:t xml:space="preserve">RECALLING ALSO </w:t>
      </w:r>
      <w:r>
        <w:t>Article 8 of the IALA Constitution regarding the authority, duties and functions of the Council,</w:t>
      </w:r>
    </w:p>
    <w:p w14:paraId="2AA3C787" w14:textId="18D20C8A" w:rsidR="002155B0" w:rsidRPr="005C2A93" w:rsidRDefault="002155B0" w:rsidP="002155B0">
      <w:pPr>
        <w:pStyle w:val="Noting"/>
        <w:rPr>
          <w:b/>
        </w:rPr>
      </w:pPr>
      <w:r w:rsidRPr="005C2A93">
        <w:rPr>
          <w:b/>
        </w:rPr>
        <w:t>RECOGNISING</w:t>
      </w:r>
      <w:r w:rsidRPr="005C2A93">
        <w:t xml:space="preserve"> that harmonized information exchange products will:</w:t>
      </w:r>
    </w:p>
    <w:p w14:paraId="682A62E1" w14:textId="4DFC4C2F" w:rsidR="002155B0" w:rsidRPr="005C2A93" w:rsidRDefault="002155B0" w:rsidP="007613D2">
      <w:pPr>
        <w:pStyle w:val="List1-recommendation"/>
      </w:pPr>
      <w:r w:rsidRPr="005C2A93">
        <w:t>Assist in the platform and system independent exchange of information</w:t>
      </w:r>
      <w:r w:rsidR="007613D2">
        <w:t>.</w:t>
      </w:r>
    </w:p>
    <w:p w14:paraId="3D202D9A" w14:textId="1D70E1DD" w:rsidR="002155B0" w:rsidRPr="005C2A93" w:rsidRDefault="002155B0" w:rsidP="007613D2">
      <w:pPr>
        <w:pStyle w:val="List1-recommendation"/>
      </w:pPr>
      <w:proofErr w:type="gramStart"/>
      <w:r w:rsidRPr="005C2A93">
        <w:t>assist</w:t>
      </w:r>
      <w:proofErr w:type="gramEnd"/>
      <w:r w:rsidRPr="005C2A93">
        <w:t xml:space="preserve"> in the development of applications for information exchange ship to ship, ship to shore, shore to ship, and shore to shore</w:t>
      </w:r>
      <w:r w:rsidR="000A64AA">
        <w:t xml:space="preserve"> in the context of e-Navigation</w:t>
      </w:r>
      <w:r w:rsidR="007613D2">
        <w:t>.</w:t>
      </w:r>
    </w:p>
    <w:p w14:paraId="16823AF3" w14:textId="5AC58428" w:rsidR="002155B0" w:rsidRPr="005C2A93" w:rsidRDefault="002155B0" w:rsidP="007613D2">
      <w:pPr>
        <w:pStyle w:val="List1-recommendation"/>
      </w:pPr>
      <w:proofErr w:type="gramStart"/>
      <w:r w:rsidRPr="005C2A93">
        <w:t>assist</w:t>
      </w:r>
      <w:proofErr w:type="gramEnd"/>
      <w:r w:rsidRPr="005C2A93">
        <w:t xml:space="preserve"> administrations in the efficient deployment of their operational and technical services and to maintain them with the service levels published in their maritime service portfolios.</w:t>
      </w:r>
    </w:p>
    <w:p w14:paraId="1D1C3321" w14:textId="77777777" w:rsidR="002155B0" w:rsidRPr="005C2A93" w:rsidRDefault="002155B0" w:rsidP="002155B0">
      <w:pPr>
        <w:pStyle w:val="Noting"/>
        <w:rPr>
          <w:b/>
        </w:rPr>
      </w:pPr>
      <w:r w:rsidRPr="005C2A93">
        <w:rPr>
          <w:b/>
        </w:rPr>
        <w:t>NOTING</w:t>
      </w:r>
    </w:p>
    <w:p w14:paraId="5DE22AF7" w14:textId="603980BF" w:rsidR="002155B0" w:rsidRPr="005C2A93" w:rsidRDefault="002155B0" w:rsidP="007613D2">
      <w:pPr>
        <w:pStyle w:val="List1-recommendation"/>
        <w:numPr>
          <w:ilvl w:val="0"/>
          <w:numId w:val="44"/>
        </w:numPr>
      </w:pPr>
      <w:proofErr w:type="gramStart"/>
      <w:r w:rsidRPr="005C2A93">
        <w:t>that</w:t>
      </w:r>
      <w:proofErr w:type="gramEnd"/>
      <w:r w:rsidRPr="005C2A93">
        <w:t xml:space="preserve"> a strategy for the implementation of e-Navigation has been established by the International Maritime Organisation (IMO) as well as an implementation plan for that strategy and that both are relevant to IALA and IALA membership</w:t>
      </w:r>
      <w:r w:rsidR="007613D2">
        <w:t>.</w:t>
      </w:r>
    </w:p>
    <w:p w14:paraId="4897257D" w14:textId="2268B03E" w:rsidR="002155B0" w:rsidRPr="005C2A93" w:rsidRDefault="002155B0" w:rsidP="007613D2">
      <w:pPr>
        <w:pStyle w:val="List1-recommendation"/>
      </w:pPr>
      <w:proofErr w:type="gramStart"/>
      <w:r w:rsidRPr="005C2A93">
        <w:t>that</w:t>
      </w:r>
      <w:proofErr w:type="gramEnd"/>
      <w:r w:rsidRPr="005C2A93">
        <w:t xml:space="preserve"> IMO has established user needs for both shipboard and shore-based users and has stipulated that the implementation of e-Navigation should satisfy those user needs</w:t>
      </w:r>
      <w:r w:rsidR="007613D2">
        <w:t>.</w:t>
      </w:r>
    </w:p>
    <w:p w14:paraId="69860B7E" w14:textId="1F0D8CEA" w:rsidR="002155B0" w:rsidRPr="005C2A93" w:rsidRDefault="002155B0" w:rsidP="007613D2">
      <w:pPr>
        <w:pStyle w:val="List1-recommendation"/>
      </w:pPr>
      <w:proofErr w:type="gramStart"/>
      <w:r w:rsidRPr="005C2A93">
        <w:t>that</w:t>
      </w:r>
      <w:proofErr w:type="gramEnd"/>
      <w:r w:rsidRPr="005C2A93">
        <w:t xml:space="preserve"> IMO has initially defined the overarching architecture for e-Navigation which includes, amongst other things, the notion of a ‘common shore-based technical system harmonised for e-Navigation’ as well as the concept of operational and technical services embedded in the overarching concept of the Mar</w:t>
      </w:r>
      <w:r w:rsidR="000A64AA">
        <w:t>itime Service Portfolios (MSPs)</w:t>
      </w:r>
      <w:r w:rsidR="007613D2">
        <w:t>.</w:t>
      </w:r>
    </w:p>
    <w:p w14:paraId="5673CDDE" w14:textId="00E2E875" w:rsidR="002155B0" w:rsidRPr="005C2A93" w:rsidRDefault="002155B0" w:rsidP="007613D2">
      <w:pPr>
        <w:pStyle w:val="List1-recommendation"/>
      </w:pPr>
      <w:proofErr w:type="gramStart"/>
      <w:r w:rsidRPr="005C2A93">
        <w:t>that</w:t>
      </w:r>
      <w:proofErr w:type="gramEnd"/>
      <w:r w:rsidRPr="005C2A93">
        <w:t xml:space="preserve"> IMO has expressed an interest in the contribution of IALA to the work on e-Navigation and has recognized Coastal states’ VTS provisions and their shore-based infrastructures in their enabling role for e-Navigation as well as IALA’s role in this regard</w:t>
      </w:r>
      <w:r w:rsidR="007613D2">
        <w:t>.</w:t>
      </w:r>
    </w:p>
    <w:p w14:paraId="33ADA979" w14:textId="04FBF8B5" w:rsidR="002155B0" w:rsidRPr="005C2A93" w:rsidRDefault="002155B0" w:rsidP="007613D2">
      <w:pPr>
        <w:pStyle w:val="List1-recommendation"/>
      </w:pPr>
      <w:r w:rsidRPr="005C2A93">
        <w:t>that the IMO e-Navigation strategy has a core objective to support maritime transport processes, including the maritime logistics chain, and that the IMO Secretary General has published a concept of a Sustainable Maritime Transportation System (SMTS) which references IALA’s work regarding the ‘maritime traffic support and advisory systems’.</w:t>
      </w:r>
    </w:p>
    <w:p w14:paraId="284B490C" w14:textId="59ECA6AE" w:rsidR="002155B0" w:rsidRPr="005C2A93" w:rsidRDefault="002155B0" w:rsidP="002155B0">
      <w:pPr>
        <w:pStyle w:val="Noting"/>
        <w:rPr>
          <w:b/>
        </w:rPr>
      </w:pPr>
      <w:r w:rsidRPr="005C2A93">
        <w:rPr>
          <w:b/>
        </w:rPr>
        <w:t>NOTING ALSO</w:t>
      </w:r>
      <w:r w:rsidRPr="005C2A93">
        <w:t xml:space="preserve"> that the International Hydrographic Organisation (IHO):</w:t>
      </w:r>
    </w:p>
    <w:p w14:paraId="6B3E0CC6" w14:textId="3E6C07DF" w:rsidR="002155B0" w:rsidRPr="005C2A93" w:rsidRDefault="002155B0" w:rsidP="007613D2">
      <w:pPr>
        <w:pStyle w:val="List1-recommendation"/>
        <w:numPr>
          <w:ilvl w:val="0"/>
          <w:numId w:val="45"/>
        </w:numPr>
      </w:pPr>
      <w:proofErr w:type="gramStart"/>
      <w:r w:rsidRPr="005C2A93">
        <w:t>has</w:t>
      </w:r>
      <w:proofErr w:type="gramEnd"/>
      <w:r w:rsidRPr="005C2A93">
        <w:t xml:space="preserve"> established a Geo-spatial Information Registry (GI Registry), as defined in their publications S-100 and S-99 and has introduced the notion of ‘products’ as an internationally unified rule base for the combination of different parts of the GI Registry to ‘products’</w:t>
      </w:r>
      <w:r w:rsidR="007613D2">
        <w:t>.</w:t>
      </w:r>
    </w:p>
    <w:p w14:paraId="467D09B5" w14:textId="536BBE49" w:rsidR="002155B0" w:rsidRPr="005C2A93" w:rsidRDefault="002155B0" w:rsidP="007613D2">
      <w:pPr>
        <w:pStyle w:val="List1-recommendation"/>
        <w:numPr>
          <w:ilvl w:val="0"/>
          <w:numId w:val="45"/>
        </w:numPr>
      </w:pPr>
      <w:proofErr w:type="gramStart"/>
      <w:r w:rsidRPr="005C2A93">
        <w:t>that</w:t>
      </w:r>
      <w:proofErr w:type="gramEnd"/>
      <w:r w:rsidRPr="005C2A93">
        <w:t xml:space="preserve"> IMO has decided that the IHO standard S-100 should be the baseline for the IMO envisaged Common Maritime Data Structure (CMDS)</w:t>
      </w:r>
      <w:r w:rsidR="007613D2">
        <w:t>.</w:t>
      </w:r>
    </w:p>
    <w:p w14:paraId="4425B946" w14:textId="54BEF755" w:rsidR="002155B0" w:rsidRPr="005C2A93" w:rsidRDefault="002155B0" w:rsidP="007613D2">
      <w:pPr>
        <w:pStyle w:val="List1-recommendation"/>
        <w:numPr>
          <w:ilvl w:val="0"/>
          <w:numId w:val="45"/>
        </w:numPr>
      </w:pPr>
      <w:proofErr w:type="gramStart"/>
      <w:r w:rsidRPr="005C2A93">
        <w:t>that</w:t>
      </w:r>
      <w:proofErr w:type="gramEnd"/>
      <w:r w:rsidRPr="005C2A93">
        <w:t xml:space="preserve"> IALA has acquired the status of a ‘Submitting Organisation’ and </w:t>
      </w:r>
      <w:r w:rsidR="00DE21FE">
        <w:t xml:space="preserve">is the </w:t>
      </w:r>
      <w:r w:rsidRPr="005C2A93">
        <w:t xml:space="preserve"> ‘Domain Owner’ </w:t>
      </w:r>
      <w:r w:rsidR="00DE21FE">
        <w:t>of the S-200 Domain in</w:t>
      </w:r>
      <w:r w:rsidRPr="005C2A93">
        <w:t xml:space="preserve"> the IHO’s GI Registry.</w:t>
      </w:r>
    </w:p>
    <w:p w14:paraId="5A201383" w14:textId="3C3AD2F0" w:rsidR="007613D2" w:rsidRDefault="007613D2" w:rsidP="002155B0">
      <w:pPr>
        <w:pStyle w:val="Noting"/>
      </w:pPr>
      <w:r>
        <w:rPr>
          <w:b/>
        </w:rPr>
        <w:lastRenderedPageBreak/>
        <w:t>CONSIDERING</w:t>
      </w:r>
      <w:r w:rsidRPr="00405755">
        <w:rPr>
          <w:b/>
        </w:rPr>
        <w:t xml:space="preserve"> </w:t>
      </w:r>
      <w:r w:rsidRPr="00405755">
        <w:t xml:space="preserve">the </w:t>
      </w:r>
      <w:r w:rsidRPr="00C7179A">
        <w:t xml:space="preserve">proposals of the </w:t>
      </w:r>
      <w:r>
        <w:t>IALA e-Navigation</w:t>
      </w:r>
      <w:r w:rsidRPr="00C7179A">
        <w:t xml:space="preserve"> Committee</w:t>
      </w:r>
      <w:r w:rsidRPr="00405755">
        <w:t>,</w:t>
      </w:r>
    </w:p>
    <w:p w14:paraId="4FF215A4" w14:textId="6ABF3961" w:rsidR="007613D2" w:rsidRDefault="007613D2" w:rsidP="007613D2">
      <w:pPr>
        <w:pStyle w:val="Noting"/>
      </w:pPr>
      <w:r>
        <w:rPr>
          <w:b/>
        </w:rPr>
        <w:t>ADOPTS</w:t>
      </w:r>
      <w:r w:rsidRPr="00405755">
        <w:t xml:space="preserve"> </w:t>
      </w:r>
      <w:r>
        <w:t xml:space="preserve">the Recommendation on </w:t>
      </w:r>
      <w:r w:rsidRPr="007613D2">
        <w:t>Product Specification Development and Managemen</w:t>
      </w:r>
      <w:r>
        <w:t>t as described below,</w:t>
      </w:r>
    </w:p>
    <w:p w14:paraId="195E410C" w14:textId="2ECDF793" w:rsidR="007613D2" w:rsidRDefault="007613D2" w:rsidP="007613D2">
      <w:pPr>
        <w:pStyle w:val="Noting"/>
        <w:rPr>
          <w:b/>
        </w:rPr>
      </w:pPr>
      <w:r>
        <w:rPr>
          <w:b/>
        </w:rPr>
        <w:t xml:space="preserve">INVITES </w:t>
      </w:r>
      <w:r>
        <w:t xml:space="preserve">Members and marine aids to navigation Authorities worldwide to comply with the provisions on </w:t>
      </w:r>
      <w:r w:rsidRPr="007613D2">
        <w:t>Product Specification Development and Managemen</w:t>
      </w:r>
      <w:r>
        <w:t>t</w:t>
      </w:r>
      <w:r w:rsidRPr="00405755">
        <w:t>,</w:t>
      </w:r>
    </w:p>
    <w:p w14:paraId="76418885" w14:textId="58DD70C3" w:rsidR="002155B0" w:rsidRPr="005C2A93" w:rsidRDefault="002155B0" w:rsidP="002155B0">
      <w:pPr>
        <w:pStyle w:val="Noting"/>
        <w:rPr>
          <w:b/>
        </w:rPr>
      </w:pPr>
      <w:r w:rsidRPr="005C2A93">
        <w:rPr>
          <w:b/>
        </w:rPr>
        <w:t>RECOMMENDS</w:t>
      </w:r>
      <w:r w:rsidRPr="005C2A93">
        <w:t xml:space="preserve"> that National Members and other appropriate Authorities providing aids to navigation services:</w:t>
      </w:r>
    </w:p>
    <w:p w14:paraId="32E7D6A2" w14:textId="17E97749" w:rsidR="00DE21FE" w:rsidRDefault="007613D2" w:rsidP="00033F6B">
      <w:pPr>
        <w:pStyle w:val="List1-recommendation"/>
        <w:numPr>
          <w:ilvl w:val="0"/>
          <w:numId w:val="46"/>
        </w:numPr>
      </w:pPr>
      <w:proofErr w:type="gramStart"/>
      <w:r w:rsidRPr="005C2A93">
        <w:t>make</w:t>
      </w:r>
      <w:proofErr w:type="gramEnd"/>
      <w:r w:rsidRPr="005C2A93">
        <w:t xml:space="preserve"> use of the IHO GI Registry</w:t>
      </w:r>
      <w:r>
        <w:t xml:space="preserve"> </w:t>
      </w:r>
      <w:r w:rsidR="00FE5811">
        <w:t>f</w:t>
      </w:r>
      <w:r w:rsidR="002155B0" w:rsidRPr="005C2A93">
        <w:t xml:space="preserve">or the provision of e-Navigation </w:t>
      </w:r>
      <w:r w:rsidR="00220C47">
        <w:t>services</w:t>
      </w:r>
      <w:r>
        <w:t>.</w:t>
      </w:r>
    </w:p>
    <w:p w14:paraId="62B96629" w14:textId="1205777C" w:rsidR="00220C47" w:rsidRDefault="000A64AA" w:rsidP="007613D2">
      <w:pPr>
        <w:pStyle w:val="List1-recommendation"/>
      </w:pPr>
      <w:r>
        <w:t>t</w:t>
      </w:r>
      <w:r w:rsidR="00F85AA9">
        <w:t>ake into account</w:t>
      </w:r>
      <w:r w:rsidR="00F02F0B">
        <w:t xml:space="preserve"> the relevant guideline</w:t>
      </w:r>
      <w:r w:rsidR="00033F6B">
        <w:t>(s)</w:t>
      </w:r>
      <w:r w:rsidR="00F02F0B">
        <w:t xml:space="preserve"> on developing product spe</w:t>
      </w:r>
      <w:r w:rsidR="00DE21FE">
        <w:t xml:space="preserve">cifications </w:t>
      </w:r>
      <w:r w:rsidR="00F85AA9">
        <w:t>for the S-200 domain,</w:t>
      </w:r>
      <w:r w:rsidR="00F85AA9" w:rsidRPr="00F85AA9">
        <w:t xml:space="preserve"> </w:t>
      </w:r>
      <w:r w:rsidR="00F85AA9">
        <w:t>when developing e-Navigation products,</w:t>
      </w:r>
    </w:p>
    <w:p w14:paraId="0A94F185" w14:textId="349A7657" w:rsidR="002155B0" w:rsidRPr="005C2A93" w:rsidRDefault="00F85AA9" w:rsidP="007613D2">
      <w:pPr>
        <w:pStyle w:val="List1-recommendation"/>
      </w:pPr>
      <w:proofErr w:type="gramStart"/>
      <w:r>
        <w:t>take</w:t>
      </w:r>
      <w:proofErr w:type="gramEnd"/>
      <w:r>
        <w:t xml:space="preserve"> into account</w:t>
      </w:r>
      <w:r w:rsidR="002155B0" w:rsidRPr="005C2A93">
        <w:t xml:space="preserve"> the IALA domains management procedures as described in the relevant IALA guideline</w:t>
      </w:r>
      <w:r w:rsidR="00033F6B">
        <w:t xml:space="preserve"> 1087</w:t>
      </w:r>
      <w:r>
        <w:t>,</w:t>
      </w:r>
      <w:r w:rsidRPr="00F85AA9">
        <w:t xml:space="preserve"> </w:t>
      </w:r>
      <w:r>
        <w:t>w</w:t>
      </w:r>
      <w:r w:rsidRPr="005C2A93">
        <w:t>hen developing e-Navigation products</w:t>
      </w:r>
      <w:r w:rsidR="007613D2">
        <w:t>.</w:t>
      </w:r>
    </w:p>
    <w:p w14:paraId="0F0236D0" w14:textId="0EB8D040" w:rsidR="002155B0" w:rsidRPr="005C2A93" w:rsidRDefault="00FE5811" w:rsidP="007613D2">
      <w:pPr>
        <w:pStyle w:val="List1-recommendation"/>
      </w:pPr>
      <w:proofErr w:type="gramStart"/>
      <w:r>
        <w:t>p</w:t>
      </w:r>
      <w:r w:rsidR="002155B0" w:rsidRPr="005C2A93">
        <w:t>rovide</w:t>
      </w:r>
      <w:proofErr w:type="gramEnd"/>
      <w:r w:rsidR="002155B0" w:rsidRPr="005C2A93">
        <w:t xml:space="preserve"> IALA with the technical capability and expertise for the development of e-Navigation Product Specifications</w:t>
      </w:r>
      <w:r w:rsidR="00D27A72">
        <w:t xml:space="preserve"> for the S-200 domain</w:t>
      </w:r>
      <w:r w:rsidR="002155B0" w:rsidRPr="005C2A93">
        <w:t>.</w:t>
      </w:r>
    </w:p>
    <w:p w14:paraId="40FFE525" w14:textId="77777777" w:rsidR="00220C47" w:rsidRDefault="00220C47" w:rsidP="00033F6B">
      <w:pPr>
        <w:pStyle w:val="List1-recommendation"/>
        <w:numPr>
          <w:ilvl w:val="0"/>
          <w:numId w:val="0"/>
        </w:numPr>
      </w:pPr>
    </w:p>
    <w:p w14:paraId="2E28BFE7" w14:textId="3739FA6F" w:rsidR="00456DAC" w:rsidRPr="00033F6B" w:rsidRDefault="00456DAC" w:rsidP="00992126">
      <w:pPr>
        <w:pStyle w:val="Noting"/>
      </w:pPr>
      <w:r>
        <w:rPr>
          <w:b/>
        </w:rPr>
        <w:t xml:space="preserve">RECOMMENDS ALSO </w:t>
      </w:r>
      <w:r>
        <w:t>that Industrial Members take the above recommendations into account when developing and implementing e-Navigation products and services for their customers.</w:t>
      </w:r>
    </w:p>
    <w:p w14:paraId="27149A0D" w14:textId="4FF23918" w:rsidR="002430F4" w:rsidRPr="005C2A93" w:rsidRDefault="002430F4" w:rsidP="00992126">
      <w:pPr>
        <w:pStyle w:val="Noting"/>
        <w:rPr>
          <w:b/>
        </w:rPr>
      </w:pPr>
      <w:r>
        <w:rPr>
          <w:b/>
        </w:rPr>
        <w:t xml:space="preserve">REQUESTS </w:t>
      </w:r>
      <w:r>
        <w:t>the</w:t>
      </w:r>
      <w:r w:rsidR="001F5878" w:rsidRPr="009937D6">
        <w:t xml:space="preserve"> </w:t>
      </w:r>
      <w:r w:rsidR="001F5878">
        <w:t>IALA</w:t>
      </w:r>
      <w:r>
        <w:t xml:space="preserve"> </w:t>
      </w:r>
      <w:r>
        <w:rPr>
          <w:bCs/>
        </w:rPr>
        <w:t>e-</w:t>
      </w:r>
      <w:r w:rsidRPr="00F27CC9">
        <w:rPr>
          <w:bCs/>
        </w:rPr>
        <w:t>Navigation</w:t>
      </w:r>
      <w:r>
        <w:t xml:space="preserve"> Committee or such other committee as the Council may direct to keep the Recommendation under review and to propose amendments as necessary.</w:t>
      </w:r>
    </w:p>
    <w:p w14:paraId="4C8A12BC" w14:textId="76C59C65" w:rsidR="002155B0" w:rsidRPr="005C2A93" w:rsidRDefault="002155B0">
      <w:pPr>
        <w:spacing w:after="200" w:line="276" w:lineRule="auto"/>
        <w:rPr>
          <w:sz w:val="24"/>
        </w:rPr>
      </w:pPr>
      <w:bookmarkStart w:id="1" w:name="_GoBack"/>
      <w:bookmarkEnd w:id="0"/>
      <w:bookmarkEnd w:id="1"/>
    </w:p>
    <w:p w14:paraId="74DAC75E" w14:textId="47A42001" w:rsidR="00F444C1" w:rsidRPr="00F444C1" w:rsidRDefault="00F444C1">
      <w:pPr>
        <w:pStyle w:val="Acronym"/>
        <w:rPr>
          <w:lang w:eastAsia="en-GB"/>
        </w:rPr>
      </w:pPr>
    </w:p>
    <w:sectPr w:rsidR="00F444C1" w:rsidRPr="00F444C1" w:rsidSect="0083218D">
      <w:headerReference w:type="default" r:id="rId12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C025E8" w14:textId="77777777" w:rsidR="002E303C" w:rsidRDefault="002E303C" w:rsidP="003274DB">
      <w:r>
        <w:separator/>
      </w:r>
    </w:p>
    <w:p w14:paraId="577B0647" w14:textId="77777777" w:rsidR="002E303C" w:rsidRDefault="002E303C"/>
  </w:endnote>
  <w:endnote w:type="continuationSeparator" w:id="0">
    <w:p w14:paraId="6E49801D" w14:textId="77777777" w:rsidR="002E303C" w:rsidRDefault="002E303C" w:rsidP="003274DB">
      <w:r>
        <w:continuationSeparator/>
      </w:r>
    </w:p>
    <w:p w14:paraId="14C4C748" w14:textId="77777777" w:rsidR="002E303C" w:rsidRDefault="002E30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venir Next Condensed">
    <w:altName w:val="Times New Roman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BB842" w14:textId="77777777" w:rsidR="007613D2" w:rsidRPr="004E7119" w:rsidRDefault="002E4993" w:rsidP="007613D2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CF28C25" wp14:editId="7FF756DB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v="urn:schemas-microsoft-com:mac:vml" xmlns:mo="http://schemas.microsoft.com/office/mac/office/2008/main">
          <w:pict>
            <v:line w14:anchorId="3A4FC4D7" id="Connecteur_x0020_droit_x0020_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" strokecolor="#00558c [3204]" strokeweight="1pt">
              <w10:wrap anchorx="page" anchory="page"/>
            </v:line>
          </w:pict>
        </mc:Fallback>
      </mc:AlternateContent>
    </w:r>
    <w:r w:rsidR="007613D2" w:rsidRPr="004E711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4CEA6CDB" wp14:editId="585EFD47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4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mv="urn:schemas-microsoft-com:mac:vml" xmlns:mo="http://schemas.microsoft.com/office/mac/office/2008/main">
          <w:pict>
            <v:line w14:anchorId="2EE78E66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5JnDwPsAAADhAQAAEwAAAAAAAAAA&#10;AAAAAAAAAAAAW0NvbnRlbnRfVHlwZXNdLnhtbFBLAQItABQABgAIAAAAIQAjsmrh1wAAAJQBAAAL&#10;AAAAAAAAAAAAAAAAACwBAABfcmVscy8ucmVsc1BLAQItABQABgAIAAAAIQApqRMQ0gEAABAEAAAO&#10;AAAAAAAAAAAAAAAAACw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="007613D2" w:rsidRPr="004E7119">
      <w:rPr>
        <w:color w:val="808080" w:themeColor="background1" w:themeShade="80"/>
        <w:sz w:val="16"/>
        <w:szCs w:val="16"/>
        <w:lang w:val="fr-FR"/>
      </w:rPr>
      <w:t xml:space="preserve">10, rue des </w:t>
    </w:r>
    <w:proofErr w:type="spellStart"/>
    <w:r w:rsidR="007613D2" w:rsidRPr="004E7119">
      <w:rPr>
        <w:color w:val="808080" w:themeColor="background1" w:themeShade="80"/>
        <w:sz w:val="16"/>
        <w:szCs w:val="16"/>
        <w:lang w:val="fr-FR"/>
      </w:rPr>
      <w:t>Gaudines</w:t>
    </w:r>
    <w:proofErr w:type="spellEnd"/>
    <w:r w:rsidR="007613D2" w:rsidRPr="004E7119">
      <w:rPr>
        <w:color w:val="808080" w:themeColor="background1" w:themeShade="80"/>
        <w:sz w:val="16"/>
        <w:szCs w:val="16"/>
        <w:lang w:val="fr-FR"/>
      </w:rPr>
      <w:t xml:space="preserve"> – 78100 Saint Germain en Laye, France</w:t>
    </w:r>
  </w:p>
  <w:p w14:paraId="19187E4B" w14:textId="77777777" w:rsidR="007613D2" w:rsidRDefault="007613D2" w:rsidP="007613D2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5BB1C433" w14:textId="77777777" w:rsidR="007613D2" w:rsidRPr="004E7119" w:rsidRDefault="007613D2" w:rsidP="007613D2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4DC0B5A0" w14:textId="77777777" w:rsidR="007613D2" w:rsidRDefault="007613D2" w:rsidP="007613D2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52999534" w14:textId="75049C3B" w:rsidR="002E4993" w:rsidRPr="00ED2A8D" w:rsidRDefault="007613D2" w:rsidP="007613D2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64EF5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56EB7F77" w14:textId="77777777" w:rsidR="007A72CF" w:rsidRDefault="007A72CF" w:rsidP="007A72CF">
    <w:pPr>
      <w:pStyle w:val="Footerportrait"/>
    </w:pPr>
  </w:p>
  <w:p w14:paraId="63A42BEB" w14:textId="48E6B47A" w:rsidR="007A72CF" w:rsidRPr="007A72CF" w:rsidRDefault="000A64AA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>
      <w:t>IALA ReCommendation</w:t>
    </w:r>
    <w:r>
      <w:fldChar w:fldCharType="end"/>
    </w:r>
    <w:r w:rsidR="007A72CF">
      <w:t xml:space="preserve"> </w:t>
    </w:r>
    <w:fldSimple w:instr=" STYLEREF &quot;Document number&quot; \* MERGEFORMAT ">
      <w:r>
        <w:t>e-NAV-147</w:t>
      </w:r>
    </w:fldSimple>
    <w:r w:rsidR="0056466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>
      <w:t>Product Specification Development and Management</w:t>
    </w:r>
    <w:r>
      <w:fldChar w:fldCharType="end"/>
    </w:r>
    <w:r w:rsidR="007A72CF">
      <w:tab/>
    </w:r>
  </w:p>
  <w:p w14:paraId="61EA7143" w14:textId="4B31E729" w:rsidR="008608A4" w:rsidRDefault="002E303C" w:rsidP="007A72CF">
    <w:pPr>
      <w:pStyle w:val="Footerportrait"/>
    </w:pPr>
    <w:fldSimple w:instr=" STYLEREF &quot;Edition number&quot; \* MERGEFORMAT ">
      <w:r w:rsidR="000A64AA">
        <w:t>Edition 2.0</w:t>
      </w:r>
    </w:fldSimple>
    <w:r w:rsidR="007A72CF">
      <w:t xml:space="preserve"> </w:t>
    </w:r>
    <w:fldSimple w:instr=" STYLEREF &quot;Document date&quot; \* MERGEFORMAT ">
      <w:r w:rsidR="000A64AA">
        <w:t>May 2017</w:t>
      </w:r>
    </w:fldSimple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 w:rsidR="000A64AA">
      <w:t>5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347133" w14:textId="77777777" w:rsidR="002E303C" w:rsidRDefault="002E303C" w:rsidP="003274DB">
      <w:r>
        <w:separator/>
      </w:r>
    </w:p>
    <w:p w14:paraId="37E78C44" w14:textId="77777777" w:rsidR="002E303C" w:rsidRDefault="002E303C"/>
  </w:footnote>
  <w:footnote w:type="continuationSeparator" w:id="0">
    <w:p w14:paraId="28F4565E" w14:textId="77777777" w:rsidR="002E303C" w:rsidRDefault="002E303C" w:rsidP="003274DB">
      <w:r>
        <w:continuationSeparator/>
      </w:r>
    </w:p>
    <w:p w14:paraId="40A226DF" w14:textId="77777777" w:rsidR="002E303C" w:rsidRDefault="002E303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AC9E7" w14:textId="5E983DCD" w:rsidR="007940E3" w:rsidRDefault="007940E3" w:rsidP="00EC7E94">
    <w:pPr>
      <w:pStyle w:val="Header"/>
      <w:jc w:val="right"/>
    </w:pPr>
    <w:r>
      <w:t>ENAV20-14.1.9</w:t>
    </w:r>
  </w:p>
  <w:p w14:paraId="51BDC79A" w14:textId="1B2CD578" w:rsidR="002E4993" w:rsidRPr="00ED2A8D" w:rsidRDefault="002E4993" w:rsidP="00EC7E94">
    <w:pPr>
      <w:pStyle w:val="Header"/>
      <w:jc w:val="right"/>
    </w:pPr>
    <w:r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0A5BE73E" wp14:editId="02C2E7BB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940E3">
      <w:t xml:space="preserve">Formerly </w:t>
    </w:r>
    <w:r w:rsidR="00EC7E94">
      <w:t>ENAV20-</w:t>
    </w:r>
    <w:r w:rsidR="007E28BB">
      <w:t>14.2.9</w:t>
    </w:r>
  </w:p>
  <w:p w14:paraId="789F2CF1" w14:textId="77777777" w:rsidR="002E4993" w:rsidRPr="00ED2A8D" w:rsidRDefault="002E4993" w:rsidP="008747E0">
    <w:pPr>
      <w:pStyle w:val="Header"/>
    </w:pPr>
  </w:p>
  <w:p w14:paraId="0D8C1D21" w14:textId="77777777" w:rsidR="002E4993" w:rsidRDefault="002E4993" w:rsidP="008747E0">
    <w:pPr>
      <w:pStyle w:val="Header"/>
    </w:pPr>
  </w:p>
  <w:p w14:paraId="53462CF7" w14:textId="77777777" w:rsidR="002E4993" w:rsidRDefault="002E4993" w:rsidP="008747E0">
    <w:pPr>
      <w:pStyle w:val="Header"/>
    </w:pPr>
  </w:p>
  <w:p w14:paraId="4637DF7D" w14:textId="77777777" w:rsidR="002E4993" w:rsidRDefault="002E4993" w:rsidP="008747E0">
    <w:pPr>
      <w:pStyle w:val="Header"/>
    </w:pPr>
  </w:p>
  <w:p w14:paraId="68859D7E" w14:textId="77777777" w:rsidR="002E4993" w:rsidRDefault="002E4993" w:rsidP="008747E0">
    <w:pPr>
      <w:pStyle w:val="Header"/>
    </w:pPr>
  </w:p>
  <w:p w14:paraId="68F7D7DE" w14:textId="77777777" w:rsidR="002E4993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0A4098E0" wp14:editId="6B3575BC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214B79" w14:textId="77777777" w:rsidR="002E4993" w:rsidRPr="00ED2A8D" w:rsidRDefault="002E4993" w:rsidP="008747E0">
    <w:pPr>
      <w:pStyle w:val="Header"/>
    </w:pPr>
  </w:p>
  <w:p w14:paraId="2359230C" w14:textId="77777777"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850CF" w14:textId="77777777" w:rsidR="002E4993" w:rsidRPr="00ED2A8D" w:rsidRDefault="002E4993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537D462A" wp14:editId="07F996D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30F795" w14:textId="77777777" w:rsidR="002E4993" w:rsidRPr="00ED2A8D" w:rsidRDefault="002E4993" w:rsidP="008747E0">
    <w:pPr>
      <w:pStyle w:val="Header"/>
    </w:pPr>
  </w:p>
  <w:p w14:paraId="4196D5A3" w14:textId="77777777" w:rsidR="002E4993" w:rsidRDefault="002E4993" w:rsidP="008747E0">
    <w:pPr>
      <w:pStyle w:val="Header"/>
    </w:pPr>
  </w:p>
  <w:p w14:paraId="528EA521" w14:textId="77777777" w:rsidR="002E4993" w:rsidRDefault="002E4993" w:rsidP="008747E0">
    <w:pPr>
      <w:pStyle w:val="Header"/>
    </w:pPr>
  </w:p>
  <w:p w14:paraId="4561D7CD" w14:textId="77777777" w:rsidR="002E4993" w:rsidRDefault="002E4993" w:rsidP="008747E0">
    <w:pPr>
      <w:pStyle w:val="Header"/>
    </w:pPr>
  </w:p>
  <w:p w14:paraId="55A0B421" w14:textId="5AAA95B1" w:rsidR="002E4993" w:rsidRPr="00441393" w:rsidRDefault="002E4993" w:rsidP="00441393">
    <w:pPr>
      <w:pStyle w:val="Contents"/>
    </w:pPr>
    <w:r>
      <w:t>DOCUMENT REVISION</w:t>
    </w:r>
  </w:p>
  <w:p w14:paraId="5B698B96" w14:textId="77777777" w:rsidR="002E4993" w:rsidRPr="00ED2A8D" w:rsidRDefault="002E4993" w:rsidP="008747E0">
    <w:pPr>
      <w:pStyle w:val="Header"/>
    </w:pPr>
  </w:p>
  <w:p w14:paraId="7B1CF08D" w14:textId="77777777" w:rsidR="002E4993" w:rsidRPr="00AC33A2" w:rsidRDefault="002E4993" w:rsidP="0078486B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B1FDE" w14:textId="5F0E96A1" w:rsidR="002E4993" w:rsidRPr="00667792" w:rsidRDefault="002E4993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0768" behindDoc="1" locked="0" layoutInCell="1" allowOverlap="1" wp14:anchorId="72DDC03A" wp14:editId="0F803057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BAA75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D5CBFC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F1D8B67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F04AC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5E6F0A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3D495D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2381B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C43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F10F3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932C0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1E9CB260"/>
    <w:lvl w:ilvl="0" w:tplc="8C30ADAC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1745FB"/>
    <w:multiLevelType w:val="multilevel"/>
    <w:tmpl w:val="DFE4F1C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0BEC10F5"/>
    <w:multiLevelType w:val="multilevel"/>
    <w:tmpl w:val="8B84F148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6E052A"/>
    <w:multiLevelType w:val="multilevel"/>
    <w:tmpl w:val="F1AAB32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7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DA7DF4"/>
    <w:multiLevelType w:val="multilevel"/>
    <w:tmpl w:val="8A6E27A4"/>
    <w:lvl w:ilvl="0">
      <w:start w:val="1"/>
      <w:numFmt w:val="upperLetter"/>
      <w:suff w:val="nothing"/>
      <w:lvlText w:val="ANNEX %1"/>
      <w:lvlJc w:val="left"/>
      <w:pPr>
        <w:ind w:left="0" w:firstLine="0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34245C5"/>
    <w:multiLevelType w:val="multilevel"/>
    <w:tmpl w:val="8A765086"/>
    <w:lvl w:ilvl="0">
      <w:start w:val="1"/>
      <w:numFmt w:val="decimal"/>
      <w:pStyle w:val="Figurecaption"/>
      <w:suff w:val="nothing"/>
      <w:lvlText w:val="Figur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62639A"/>
    <w:multiLevelType w:val="multilevel"/>
    <w:tmpl w:val="F07426EA"/>
    <w:lvl w:ilvl="0">
      <w:start w:val="1"/>
      <w:numFmt w:val="decimal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A5A5B4B"/>
    <w:multiLevelType w:val="multilevel"/>
    <w:tmpl w:val="FB384D8E"/>
    <w:lvl w:ilvl="0">
      <w:start w:val="1"/>
      <w:numFmt w:val="decimal"/>
      <w:lvlText w:val="A %1.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A %1.%2.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A %1.%2.%3.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A 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51F0B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61A18E3"/>
    <w:multiLevelType w:val="multilevel"/>
    <w:tmpl w:val="AEAA45B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83D0F5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83D0F5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512549AD"/>
    <w:multiLevelType w:val="multilevel"/>
    <w:tmpl w:val="BDA86BAC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066901"/>
    <w:multiLevelType w:val="multilevel"/>
    <w:tmpl w:val="112C468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7" w15:restartNumberingAfterBreak="0">
    <w:nsid w:val="5F157AD2"/>
    <w:multiLevelType w:val="hybridMultilevel"/>
    <w:tmpl w:val="1C287182"/>
    <w:lvl w:ilvl="0" w:tplc="73E805F4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AB4D84"/>
    <w:multiLevelType w:val="multilevel"/>
    <w:tmpl w:val="5AE8DF80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 w15:restartNumberingAfterBreak="0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61189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4"/>
  </w:num>
  <w:num w:numId="3">
    <w:abstractNumId w:val="27"/>
  </w:num>
  <w:num w:numId="4">
    <w:abstractNumId w:val="24"/>
  </w:num>
  <w:num w:numId="5">
    <w:abstractNumId w:val="16"/>
  </w:num>
  <w:num w:numId="6">
    <w:abstractNumId w:val="23"/>
  </w:num>
  <w:num w:numId="7">
    <w:abstractNumId w:val="13"/>
  </w:num>
  <w:num w:numId="8">
    <w:abstractNumId w:val="22"/>
  </w:num>
  <w:num w:numId="9">
    <w:abstractNumId w:val="17"/>
  </w:num>
  <w:num w:numId="10">
    <w:abstractNumId w:val="25"/>
  </w:num>
  <w:num w:numId="11">
    <w:abstractNumId w:val="31"/>
  </w:num>
  <w:num w:numId="12">
    <w:abstractNumId w:val="38"/>
  </w:num>
  <w:num w:numId="13">
    <w:abstractNumId w:val="34"/>
  </w:num>
  <w:num w:numId="14">
    <w:abstractNumId w:val="33"/>
  </w:num>
  <w:num w:numId="15">
    <w:abstractNumId w:val="39"/>
  </w:num>
  <w:num w:numId="16">
    <w:abstractNumId w:val="29"/>
  </w:num>
  <w:num w:numId="17">
    <w:abstractNumId w:val="20"/>
  </w:num>
  <w:num w:numId="18">
    <w:abstractNumId w:val="37"/>
  </w:num>
  <w:num w:numId="19">
    <w:abstractNumId w:val="41"/>
  </w:num>
  <w:num w:numId="20">
    <w:abstractNumId w:val="10"/>
  </w:num>
  <w:num w:numId="21">
    <w:abstractNumId w:val="35"/>
  </w:num>
  <w:num w:numId="22">
    <w:abstractNumId w:val="12"/>
  </w:num>
  <w:num w:numId="23">
    <w:abstractNumId w:val="30"/>
  </w:num>
  <w:num w:numId="24">
    <w:abstractNumId w:val="11"/>
  </w:num>
  <w:num w:numId="25">
    <w:abstractNumId w:val="15"/>
  </w:num>
  <w:num w:numId="26">
    <w:abstractNumId w:val="32"/>
  </w:num>
  <w:num w:numId="27">
    <w:abstractNumId w:val="0"/>
  </w:num>
  <w:num w:numId="28">
    <w:abstractNumId w:val="1"/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"/>
  </w:num>
  <w:num w:numId="35">
    <w:abstractNumId w:val="8"/>
  </w:num>
  <w:num w:numId="36">
    <w:abstractNumId w:val="9"/>
  </w:num>
  <w:num w:numId="37">
    <w:abstractNumId w:val="19"/>
  </w:num>
  <w:num w:numId="38">
    <w:abstractNumId w:val="18"/>
  </w:num>
  <w:num w:numId="39">
    <w:abstractNumId w:val="26"/>
  </w:num>
  <w:num w:numId="40">
    <w:abstractNumId w:val="36"/>
  </w:num>
  <w:num w:numId="41">
    <w:abstractNumId w:val="28"/>
  </w:num>
  <w:num w:numId="42">
    <w:abstractNumId w:val="21"/>
  </w:num>
  <w:num w:numId="43">
    <w:abstractNumId w:val="40"/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80B"/>
    <w:rsid w:val="000174F9"/>
    <w:rsid w:val="000258F6"/>
    <w:rsid w:val="00033F6B"/>
    <w:rsid w:val="000379A7"/>
    <w:rsid w:val="00040EB8"/>
    <w:rsid w:val="00046D3A"/>
    <w:rsid w:val="00055311"/>
    <w:rsid w:val="00057B6D"/>
    <w:rsid w:val="00060C0C"/>
    <w:rsid w:val="00061A7B"/>
    <w:rsid w:val="00084FE9"/>
    <w:rsid w:val="000859C4"/>
    <w:rsid w:val="000904ED"/>
    <w:rsid w:val="00096642"/>
    <w:rsid w:val="000A27A8"/>
    <w:rsid w:val="000A64AA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49DB"/>
    <w:rsid w:val="00136E58"/>
    <w:rsid w:val="00140600"/>
    <w:rsid w:val="00161325"/>
    <w:rsid w:val="001875B1"/>
    <w:rsid w:val="001B6659"/>
    <w:rsid w:val="001B7940"/>
    <w:rsid w:val="001D4A3E"/>
    <w:rsid w:val="001E1101"/>
    <w:rsid w:val="001E416D"/>
    <w:rsid w:val="001F5878"/>
    <w:rsid w:val="00201337"/>
    <w:rsid w:val="002022EA"/>
    <w:rsid w:val="00205B17"/>
    <w:rsid w:val="00205D9B"/>
    <w:rsid w:val="002155B0"/>
    <w:rsid w:val="002204DA"/>
    <w:rsid w:val="00220C47"/>
    <w:rsid w:val="0022371A"/>
    <w:rsid w:val="002430F4"/>
    <w:rsid w:val="002520AD"/>
    <w:rsid w:val="002547CB"/>
    <w:rsid w:val="00257DF8"/>
    <w:rsid w:val="00257E4A"/>
    <w:rsid w:val="0027175D"/>
    <w:rsid w:val="002E303C"/>
    <w:rsid w:val="002E4993"/>
    <w:rsid w:val="002E5BAC"/>
    <w:rsid w:val="002E7635"/>
    <w:rsid w:val="002F265A"/>
    <w:rsid w:val="002F40FA"/>
    <w:rsid w:val="0030226A"/>
    <w:rsid w:val="00305EFE"/>
    <w:rsid w:val="00313D85"/>
    <w:rsid w:val="00315CE3"/>
    <w:rsid w:val="003251FE"/>
    <w:rsid w:val="003274DB"/>
    <w:rsid w:val="00327FBF"/>
    <w:rsid w:val="00336410"/>
    <w:rsid w:val="0036382D"/>
    <w:rsid w:val="00380350"/>
    <w:rsid w:val="00380B4E"/>
    <w:rsid w:val="003816E4"/>
    <w:rsid w:val="003A7759"/>
    <w:rsid w:val="003B03EA"/>
    <w:rsid w:val="003B0D8F"/>
    <w:rsid w:val="003B5C7C"/>
    <w:rsid w:val="003C7C34"/>
    <w:rsid w:val="003D0F37"/>
    <w:rsid w:val="003D49C0"/>
    <w:rsid w:val="003D5150"/>
    <w:rsid w:val="003F1C3A"/>
    <w:rsid w:val="00410738"/>
    <w:rsid w:val="004168CF"/>
    <w:rsid w:val="004379F8"/>
    <w:rsid w:val="00441393"/>
    <w:rsid w:val="00447CF0"/>
    <w:rsid w:val="00456DAC"/>
    <w:rsid w:val="00456EE9"/>
    <w:rsid w:val="00456F10"/>
    <w:rsid w:val="00492A8D"/>
    <w:rsid w:val="004B518C"/>
    <w:rsid w:val="004D24EC"/>
    <w:rsid w:val="004E1D57"/>
    <w:rsid w:val="004E2F16"/>
    <w:rsid w:val="004F3622"/>
    <w:rsid w:val="00503044"/>
    <w:rsid w:val="00526234"/>
    <w:rsid w:val="005378B8"/>
    <w:rsid w:val="00557434"/>
    <w:rsid w:val="005629E8"/>
    <w:rsid w:val="00564664"/>
    <w:rsid w:val="005873C4"/>
    <w:rsid w:val="0059159F"/>
    <w:rsid w:val="00595415"/>
    <w:rsid w:val="00597652"/>
    <w:rsid w:val="005A080B"/>
    <w:rsid w:val="005B12A5"/>
    <w:rsid w:val="005C161A"/>
    <w:rsid w:val="005C1BCB"/>
    <w:rsid w:val="005C2312"/>
    <w:rsid w:val="005C2A93"/>
    <w:rsid w:val="005C4735"/>
    <w:rsid w:val="005C5C63"/>
    <w:rsid w:val="005D304B"/>
    <w:rsid w:val="005E3989"/>
    <w:rsid w:val="005E4659"/>
    <w:rsid w:val="005F1386"/>
    <w:rsid w:val="005F17C2"/>
    <w:rsid w:val="006127AC"/>
    <w:rsid w:val="00634A78"/>
    <w:rsid w:val="00642025"/>
    <w:rsid w:val="0065107F"/>
    <w:rsid w:val="00666061"/>
    <w:rsid w:val="00667424"/>
    <w:rsid w:val="00667792"/>
    <w:rsid w:val="00671677"/>
    <w:rsid w:val="006750F2"/>
    <w:rsid w:val="0068553C"/>
    <w:rsid w:val="00685F34"/>
    <w:rsid w:val="006975A8"/>
    <w:rsid w:val="006A48A6"/>
    <w:rsid w:val="006B2D4C"/>
    <w:rsid w:val="006E0E7D"/>
    <w:rsid w:val="006F1C14"/>
    <w:rsid w:val="0072737A"/>
    <w:rsid w:val="00731DEE"/>
    <w:rsid w:val="007613D2"/>
    <w:rsid w:val="00762345"/>
    <w:rsid w:val="007715E8"/>
    <w:rsid w:val="00776004"/>
    <w:rsid w:val="0078486B"/>
    <w:rsid w:val="00785A39"/>
    <w:rsid w:val="00787D8A"/>
    <w:rsid w:val="00790277"/>
    <w:rsid w:val="00791EBC"/>
    <w:rsid w:val="00793577"/>
    <w:rsid w:val="007940E3"/>
    <w:rsid w:val="007A446A"/>
    <w:rsid w:val="007A72CF"/>
    <w:rsid w:val="007B6A93"/>
    <w:rsid w:val="007D2107"/>
    <w:rsid w:val="007D5895"/>
    <w:rsid w:val="007D77AB"/>
    <w:rsid w:val="007E28BB"/>
    <w:rsid w:val="007E30DF"/>
    <w:rsid w:val="007F439F"/>
    <w:rsid w:val="007F7544"/>
    <w:rsid w:val="00800995"/>
    <w:rsid w:val="00822227"/>
    <w:rsid w:val="0083218D"/>
    <w:rsid w:val="008326B2"/>
    <w:rsid w:val="008336A7"/>
    <w:rsid w:val="00846831"/>
    <w:rsid w:val="00850F97"/>
    <w:rsid w:val="008608A4"/>
    <w:rsid w:val="00865532"/>
    <w:rsid w:val="008737D3"/>
    <w:rsid w:val="008747E0"/>
    <w:rsid w:val="00874E0E"/>
    <w:rsid w:val="00876841"/>
    <w:rsid w:val="008972C3"/>
    <w:rsid w:val="008B237E"/>
    <w:rsid w:val="008C33B5"/>
    <w:rsid w:val="008D017F"/>
    <w:rsid w:val="008E1F69"/>
    <w:rsid w:val="008E59A3"/>
    <w:rsid w:val="008F57D8"/>
    <w:rsid w:val="00902834"/>
    <w:rsid w:val="009069AA"/>
    <w:rsid w:val="00914E26"/>
    <w:rsid w:val="0091590F"/>
    <w:rsid w:val="00920B0A"/>
    <w:rsid w:val="00922DED"/>
    <w:rsid w:val="0092540C"/>
    <w:rsid w:val="00925E0F"/>
    <w:rsid w:val="00931A57"/>
    <w:rsid w:val="009414E6"/>
    <w:rsid w:val="0095191F"/>
    <w:rsid w:val="00971591"/>
    <w:rsid w:val="00974564"/>
    <w:rsid w:val="00974E99"/>
    <w:rsid w:val="009764FA"/>
    <w:rsid w:val="00980192"/>
    <w:rsid w:val="00992126"/>
    <w:rsid w:val="00994D97"/>
    <w:rsid w:val="009B5154"/>
    <w:rsid w:val="009B785E"/>
    <w:rsid w:val="009C22FC"/>
    <w:rsid w:val="009C26F8"/>
    <w:rsid w:val="009C3A74"/>
    <w:rsid w:val="009C609E"/>
    <w:rsid w:val="009E16EC"/>
    <w:rsid w:val="009E4A4D"/>
    <w:rsid w:val="009F081F"/>
    <w:rsid w:val="00A13E56"/>
    <w:rsid w:val="00A24838"/>
    <w:rsid w:val="00A4308C"/>
    <w:rsid w:val="00A549B3"/>
    <w:rsid w:val="00A70F46"/>
    <w:rsid w:val="00A72ED7"/>
    <w:rsid w:val="00A90D86"/>
    <w:rsid w:val="00AA3E01"/>
    <w:rsid w:val="00AC33A2"/>
    <w:rsid w:val="00AD6D3F"/>
    <w:rsid w:val="00AE648E"/>
    <w:rsid w:val="00AE65F1"/>
    <w:rsid w:val="00AE6BB4"/>
    <w:rsid w:val="00AE74AD"/>
    <w:rsid w:val="00AF159C"/>
    <w:rsid w:val="00B01873"/>
    <w:rsid w:val="00B1627C"/>
    <w:rsid w:val="00B17253"/>
    <w:rsid w:val="00B17BE0"/>
    <w:rsid w:val="00B31A41"/>
    <w:rsid w:val="00B40199"/>
    <w:rsid w:val="00B502FF"/>
    <w:rsid w:val="00B67422"/>
    <w:rsid w:val="00B67569"/>
    <w:rsid w:val="00B70BD4"/>
    <w:rsid w:val="00B73463"/>
    <w:rsid w:val="00B9016D"/>
    <w:rsid w:val="00BA0F4A"/>
    <w:rsid w:val="00BA0F98"/>
    <w:rsid w:val="00BA1517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57F5C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1463A"/>
    <w:rsid w:val="00D27A72"/>
    <w:rsid w:val="00D3700C"/>
    <w:rsid w:val="00D40847"/>
    <w:rsid w:val="00D653B1"/>
    <w:rsid w:val="00D65EF9"/>
    <w:rsid w:val="00D74AE1"/>
    <w:rsid w:val="00D841DD"/>
    <w:rsid w:val="00D865A8"/>
    <w:rsid w:val="00D92C2D"/>
    <w:rsid w:val="00DA09DA"/>
    <w:rsid w:val="00DA17CD"/>
    <w:rsid w:val="00DB25B3"/>
    <w:rsid w:val="00DD1DE5"/>
    <w:rsid w:val="00DE0893"/>
    <w:rsid w:val="00DE21FE"/>
    <w:rsid w:val="00DE2814"/>
    <w:rsid w:val="00DF68EA"/>
    <w:rsid w:val="00E01272"/>
    <w:rsid w:val="00E03846"/>
    <w:rsid w:val="00E20A7D"/>
    <w:rsid w:val="00E27A2F"/>
    <w:rsid w:val="00E42A94"/>
    <w:rsid w:val="00E458BF"/>
    <w:rsid w:val="00E46054"/>
    <w:rsid w:val="00E5666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307B"/>
    <w:rsid w:val="00EB6F3C"/>
    <w:rsid w:val="00EC1E2C"/>
    <w:rsid w:val="00EC35DD"/>
    <w:rsid w:val="00EC7E94"/>
    <w:rsid w:val="00ED0CF1"/>
    <w:rsid w:val="00ED2A8D"/>
    <w:rsid w:val="00EE54CB"/>
    <w:rsid w:val="00EF1C54"/>
    <w:rsid w:val="00EF3A7B"/>
    <w:rsid w:val="00EF404B"/>
    <w:rsid w:val="00EF6243"/>
    <w:rsid w:val="00F00376"/>
    <w:rsid w:val="00F02F0B"/>
    <w:rsid w:val="00F157E2"/>
    <w:rsid w:val="00F444C1"/>
    <w:rsid w:val="00F527AC"/>
    <w:rsid w:val="00F57122"/>
    <w:rsid w:val="00F61D83"/>
    <w:rsid w:val="00F65DD1"/>
    <w:rsid w:val="00F707B3"/>
    <w:rsid w:val="00F71135"/>
    <w:rsid w:val="00F76908"/>
    <w:rsid w:val="00F83A53"/>
    <w:rsid w:val="00F85AA9"/>
    <w:rsid w:val="00F90021"/>
    <w:rsid w:val="00F90461"/>
    <w:rsid w:val="00F905E1"/>
    <w:rsid w:val="00F9684C"/>
    <w:rsid w:val="00FC378B"/>
    <w:rsid w:val="00FC3977"/>
    <w:rsid w:val="00FD2F16"/>
    <w:rsid w:val="00FD6065"/>
    <w:rsid w:val="00FE5811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3B8212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3B0D8F"/>
    <w:pPr>
      <w:keepNext/>
      <w:keepLines/>
      <w:numPr>
        <w:numId w:val="12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3B0D8F"/>
    <w:pPr>
      <w:keepNext/>
      <w:keepLines/>
      <w:numPr>
        <w:ilvl w:val="1"/>
        <w:numId w:val="12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3B0D8F"/>
    <w:pPr>
      <w:keepNext/>
      <w:keepLines/>
      <w:numPr>
        <w:ilvl w:val="2"/>
        <w:numId w:val="12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3B0D8F"/>
    <w:pPr>
      <w:keepNext/>
      <w:keepLines/>
      <w:numPr>
        <w:ilvl w:val="3"/>
        <w:numId w:val="12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rsid w:val="00822227"/>
    <w:pPr>
      <w:numPr>
        <w:numId w:val="38"/>
      </w:numPr>
      <w:spacing w:after="120"/>
    </w:pPr>
    <w:rPr>
      <w:color w:val="000000" w:themeColor="text1"/>
      <w:sz w:val="22"/>
      <w:lang w:val="fr-FR"/>
    </w:rPr>
  </w:style>
  <w:style w:type="paragraph" w:customStyle="1" w:styleId="Bullet2">
    <w:name w:val="Bullet 2"/>
    <w:basedOn w:val="Normal"/>
    <w:link w:val="Bullet2Char"/>
    <w:qFormat/>
    <w:rsid w:val="00822227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character" w:customStyle="1" w:styleId="Bullet2Char">
    <w:name w:val="Bullet 2 Char"/>
    <w:basedOn w:val="DefaultParagraphFont"/>
    <w:link w:val="Bullet2"/>
    <w:rsid w:val="00822227"/>
    <w:rPr>
      <w:color w:val="000000" w:themeColor="text1"/>
      <w:lang w:val="en-GB"/>
    </w:r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2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39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39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39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39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7"/>
      </w:numPr>
      <w:spacing w:after="120"/>
      <w:jc w:val="both"/>
    </w:pPr>
    <w:rPr>
      <w:sz w:val="22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5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1text">
    <w:name w:val="Bullet 1 text"/>
    <w:basedOn w:val="Normal"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822227"/>
    <w:pPr>
      <w:numPr>
        <w:numId w:val="15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822227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8E59A3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6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822227"/>
    <w:pPr>
      <w:numPr>
        <w:numId w:val="8"/>
      </w:numPr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11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11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3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3"/>
      </w:numPr>
    </w:pPr>
  </w:style>
  <w:style w:type="paragraph" w:customStyle="1" w:styleId="Tableheading">
    <w:name w:val="Table heading"/>
    <w:basedOn w:val="Normal"/>
    <w:qFormat/>
    <w:rsid w:val="00AD6D3F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4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9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822227"/>
    <w:pPr>
      <w:numPr>
        <w:numId w:val="20"/>
      </w:numPr>
      <w:spacing w:after="120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42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Acronym">
    <w:name w:val="Acronym"/>
    <w:basedOn w:val="Normal"/>
    <w:qFormat/>
    <w:rsid w:val="00F444C1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613D2"/>
    <w:rPr>
      <w:b/>
      <w:color w:val="00558C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04AF7-FCCA-47A6-9341-FF149BF4E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652</Words>
  <Characters>3719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4363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Plenary Room</cp:lastModifiedBy>
  <cp:revision>2</cp:revision>
  <dcterms:created xsi:type="dcterms:W3CDTF">2017-03-16T15:56:00Z</dcterms:created>
  <dcterms:modified xsi:type="dcterms:W3CDTF">2017-03-16T15:56:00Z</dcterms:modified>
  <cp:category/>
</cp:coreProperties>
</file>